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7. 1. 2026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  <w:t xml:space="preserve">, Anna Prokopová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Vyklizení prostoru uzávěru vody v domě 777, 778, 779. Poslední možnost vyklizení do 31.1.2026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Naplánovaná kontrola bytu č. 23/778. Poté bude celá záležitost předána právníkovi.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Odstoupení od CN na čištění odvětrávacích šachet od společnosti Plíce domu – na základě diskuse na shromáždění vlastníků se CN výrazně navýšila a to z důvodu práce s azbestocementem.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V prosinci 2025 byla zaplacena záloha na výrobu protipožárních dveří od společnosti Gerbrich s.r.o. O termínu realizace Vás budeme informovat.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w:t xml:space="preserve">Výbor řeší stížnosti obyvatel domu v  779 na nepořádek po psech v 7. patře </w:t>
      </w:r>
      <w:r>
        <w:rPr>
          <w:sz w:val="22"/>
          <w:szCs w:val="22"/>
          <w:highlight w:val="none"/>
        </w:rPr>
        <w:t xml:space="preserve">Majitel bytu bude pozván na únorovou schůzi výboru.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Příprava smluvní dokumentace k nebytovému prostoru v 779 – mandl. </w:t>
      </w:r>
      <w:r>
        <w:rPr>
          <w:sz w:val="22"/>
          <w:szCs w:val="22"/>
          <w:highlight w:val="none"/>
        </w:rPr>
        <w:t xml:space="preserve">Pronajat od ledna 2026.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/>
          <w:bCs/>
          <w:i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Svoz VOK (velkoobjemový kontejner) -</w:t>
      </w:r>
      <w:r>
        <w:rPr>
          <w:b/>
          <w:bCs/>
          <w:i/>
          <w:iCs/>
          <w:sz w:val="22"/>
          <w:szCs w:val="22"/>
          <w:highlight w:val="none"/>
        </w:rPr>
        <w:t xml:space="preserve"> 30. 03. 2026 a 23. 06. 2026</w:t>
      </w:r>
      <w:r>
        <w:rPr>
          <w:b/>
          <w:bCs/>
          <w:i/>
          <w:iCs/>
          <w:sz w:val="22"/>
          <w:szCs w:val="22"/>
          <w:highlight w:val="none"/>
        </w:rPr>
      </w:r>
    </w:p>
    <w:p>
      <w:pPr>
        <w:pBdr/>
        <w:spacing w:line="600" w:lineRule="auto"/>
        <w:ind w:firstLine="0" w:left="709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480" w:lineRule="auto"/>
        <w:ind w:right="0" w:firstLine="0" w:left="709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19"/>
    <w:next w:val="919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19"/>
    <w:next w:val="919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19"/>
    <w:next w:val="91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19"/>
    <w:next w:val="91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9"/>
    <w:next w:val="91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9"/>
    <w:next w:val="91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9"/>
    <w:next w:val="91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9"/>
    <w:next w:val="9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9"/>
    <w:next w:val="9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919"/>
    <w:next w:val="919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>
    <w:name w:val="Title Char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>
    <w:name w:val="Subtitle Char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pBdr/>
      <w:spacing/>
      <w:ind w:right="720" w:left="720"/>
    </w:pPr>
    <w:rPr>
      <w:i/>
    </w:rPr>
  </w:style>
  <w:style w:type="character" w:styleId="766">
    <w:name w:val="Quote Char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8">
    <w:name w:val="Intense Quote Char"/>
    <w:link w:val="767"/>
    <w:uiPriority w:val="30"/>
    <w:pPr>
      <w:pBdr/>
      <w:spacing/>
      <w:ind/>
    </w:pPr>
    <w:rPr>
      <w:i/>
    </w:rPr>
  </w:style>
  <w:style w:type="paragraph" w:styleId="769">
    <w:name w:val="Header"/>
    <w:basedOn w:val="919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Header Char"/>
    <w:link w:val="769"/>
    <w:uiPriority w:val="99"/>
    <w:pPr>
      <w:pBdr/>
      <w:spacing/>
      <w:ind/>
    </w:pPr>
  </w:style>
  <w:style w:type="paragraph" w:styleId="771">
    <w:name w:val="Footer"/>
    <w:basedOn w:val="919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link w:val="771"/>
    <w:uiPriority w:val="99"/>
    <w:pPr>
      <w:pBdr/>
      <w:spacing/>
      <w:ind/>
    </w:pPr>
  </w:style>
  <w:style w:type="paragraph" w:styleId="773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  <w:pPr>
      <w:pBdr/>
      <w:spacing/>
      <w:ind/>
    </w:pPr>
  </w:style>
  <w:style w:type="table" w:styleId="77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No Spacing"/>
    <w:basedOn w:val="919"/>
    <w:uiPriority w:val="1"/>
    <w:qFormat/>
    <w:pPr>
      <w:pBdr/>
      <w:spacing w:after="0" w:line="240" w:lineRule="auto"/>
      <w:ind/>
    </w:pPr>
  </w:style>
  <w:style w:type="paragraph" w:styleId="923">
    <w:name w:val="List Paragraph"/>
    <w:basedOn w:val="919"/>
    <w:uiPriority w:val="34"/>
    <w:qFormat/>
    <w:pPr>
      <w:pBdr/>
      <w:spacing/>
      <w:ind w:left="720"/>
      <w:contextualSpacing w:val="true"/>
    </w:p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31</cp:revision>
  <dcterms:modified xsi:type="dcterms:W3CDTF">2026-01-07T19:34:46Z</dcterms:modified>
</cp:coreProperties>
</file>